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A0" w:rsidRPr="00B206D3" w:rsidRDefault="00641564" w:rsidP="00B206D3">
      <w:pPr>
        <w:pStyle w:val="Overskrift1"/>
        <w:jc w:val="center"/>
        <w:rPr>
          <w:sz w:val="44"/>
        </w:rPr>
      </w:pPr>
      <w:r w:rsidRPr="00B206D3">
        <w:rPr>
          <w:sz w:val="44"/>
        </w:rPr>
        <w:t>Norsk Bridgeforbund – Regler for bruk av skjermer</w:t>
      </w:r>
    </w:p>
    <w:p w:rsidR="00641564" w:rsidRPr="0087607C" w:rsidRDefault="00641564" w:rsidP="00641564">
      <w:pPr>
        <w:jc w:val="right"/>
        <w:rPr>
          <w:rFonts w:cstheme="minorHAnsi"/>
        </w:rPr>
      </w:pPr>
      <w:r w:rsidRPr="0087607C">
        <w:rPr>
          <w:rFonts w:cstheme="minorHAnsi"/>
          <w:sz w:val="24"/>
        </w:rPr>
        <w:br/>
      </w:r>
      <w:r w:rsidRPr="0087607C">
        <w:rPr>
          <w:rFonts w:cstheme="minorHAnsi"/>
        </w:rPr>
        <w:t xml:space="preserve">Sist oppdatert: </w:t>
      </w:r>
      <w:r w:rsidR="009A267D">
        <w:rPr>
          <w:rFonts w:cstheme="minorHAnsi"/>
        </w:rPr>
        <w:t>6. oktober 2017</w:t>
      </w:r>
      <w:bookmarkStart w:id="0" w:name="_GoBack"/>
      <w:bookmarkEnd w:id="0"/>
      <w:r w:rsidRPr="0087607C">
        <w:rPr>
          <w:rFonts w:cstheme="minorHAnsi"/>
        </w:rPr>
        <w:br/>
      </w:r>
      <w:r w:rsidRPr="0087607C">
        <w:rPr>
          <w:rFonts w:cstheme="minorHAnsi"/>
        </w:rPr>
        <w:br/>
      </w:r>
    </w:p>
    <w:p w:rsidR="00641564" w:rsidRDefault="00641564" w:rsidP="00641564">
      <w:pPr>
        <w:rPr>
          <w:rFonts w:ascii="Times New Roman" w:hAnsi="Times New Roman" w:cs="Times New Roman"/>
          <w:sz w:val="24"/>
        </w:rPr>
      </w:pPr>
      <w:r w:rsidRPr="0087607C">
        <w:rPr>
          <w:rFonts w:cstheme="minorHAnsi"/>
        </w:rPr>
        <w:br/>
        <w:t xml:space="preserve">Dette reglementet er en direkte oversettelse av World Bridge </w:t>
      </w:r>
      <w:proofErr w:type="spellStart"/>
      <w:r w:rsidRPr="0087607C">
        <w:rPr>
          <w:rFonts w:cstheme="minorHAnsi"/>
        </w:rPr>
        <w:t>Federations</w:t>
      </w:r>
      <w:proofErr w:type="spellEnd"/>
      <w:r w:rsidRPr="0087607C">
        <w:rPr>
          <w:rFonts w:cstheme="minorHAnsi"/>
        </w:rPr>
        <w:t xml:space="preserve"> skjermreglement og vil bli forsøkt oppdatert med jevne mellomrom. I tvilstilfeller er det alltid </w:t>
      </w:r>
      <w:proofErr w:type="spellStart"/>
      <w:r w:rsidRPr="0087607C">
        <w:rPr>
          <w:rFonts w:cstheme="minorHAnsi"/>
        </w:rPr>
        <w:t>WBFs</w:t>
      </w:r>
      <w:proofErr w:type="spellEnd"/>
      <w:r w:rsidRPr="0087607C">
        <w:rPr>
          <w:rFonts w:cstheme="minorHAnsi"/>
        </w:rPr>
        <w:t xml:space="preserve"> publiserte versjon som gjelder.</w:t>
      </w:r>
      <w:r w:rsidR="0087607C">
        <w:rPr>
          <w:rFonts w:cstheme="minorHAnsi"/>
        </w:rPr>
        <w:br/>
      </w:r>
      <w:r w:rsidR="0087607C">
        <w:rPr>
          <w:rFonts w:cstheme="minorHAnsi"/>
        </w:rPr>
        <w:br/>
      </w:r>
      <w:r w:rsidR="0087607C" w:rsidRPr="0087607C">
        <w:rPr>
          <w:rFonts w:cstheme="minorHAnsi"/>
        </w:rPr>
        <w:t xml:space="preserve">Lenke til </w:t>
      </w:r>
      <w:proofErr w:type="spellStart"/>
      <w:r w:rsidR="0087607C" w:rsidRPr="0087607C">
        <w:rPr>
          <w:rFonts w:cstheme="minorHAnsi"/>
        </w:rPr>
        <w:t>WBF</w:t>
      </w:r>
      <w:r w:rsidR="00E85423">
        <w:rPr>
          <w:rFonts w:cstheme="minorHAnsi"/>
        </w:rPr>
        <w:t>s</w:t>
      </w:r>
      <w:proofErr w:type="spellEnd"/>
      <w:r w:rsidR="0087607C" w:rsidRPr="0087607C">
        <w:rPr>
          <w:rFonts w:cstheme="minorHAnsi"/>
        </w:rPr>
        <w:t xml:space="preserve"> publiserte versjon per 18. september 2017:</w:t>
      </w:r>
      <w:r w:rsidR="0087607C" w:rsidRPr="0087607C">
        <w:rPr>
          <w:rFonts w:cstheme="minorHAnsi"/>
        </w:rPr>
        <w:br/>
      </w:r>
      <w:hyperlink r:id="rId6" w:history="1">
        <w:r w:rsidR="0087607C" w:rsidRPr="0087607C">
          <w:rPr>
            <w:rStyle w:val="Hyperkobling"/>
            <w:rFonts w:cstheme="minorHAnsi"/>
          </w:rPr>
          <w:t>http://www.worldbridge.org/wp-content/uploads/2016/11/generalconditionsofcontest.pdf</w:t>
        </w:r>
      </w:hyperlink>
      <w:r w:rsidR="0087607C" w:rsidRPr="0087607C">
        <w:rPr>
          <w:rFonts w:cstheme="minorHAnsi"/>
        </w:rPr>
        <w:br/>
        <w:t xml:space="preserve">(Punkt 26 – side 22-24) </w:t>
      </w:r>
      <w:r>
        <w:rPr>
          <w:rFonts w:ascii="Times New Roman" w:hAnsi="Times New Roman" w:cs="Times New Roman"/>
          <w:sz w:val="24"/>
        </w:rPr>
        <w:br/>
      </w:r>
    </w:p>
    <w:p w:rsidR="00641564" w:rsidRDefault="00641564" w:rsidP="00641564">
      <w:pPr>
        <w:pStyle w:val="Overskrift1"/>
        <w:numPr>
          <w:ilvl w:val="1"/>
          <w:numId w:val="1"/>
        </w:numPr>
      </w:pPr>
      <w:r>
        <w:t>Beskrivelse av betjening</w:t>
      </w:r>
      <w:r>
        <w:br/>
      </w:r>
    </w:p>
    <w:p w:rsidR="00641564" w:rsidRDefault="00641564" w:rsidP="00641564">
      <w:pPr>
        <w:ind w:left="708"/>
      </w:pPr>
      <w:r>
        <w:t xml:space="preserve">Spillerne i nord og øst sitter på samme side av skjermen gjennom hele turneringen. Det er </w:t>
      </w:r>
      <w:proofErr w:type="spellStart"/>
      <w:r>
        <w:t>nords</w:t>
      </w:r>
      <w:proofErr w:type="spellEnd"/>
      <w:r>
        <w:t xml:space="preserve"> ansvar å plassere spillet på, og ta det vekk, fra meldebrettet. Sekvensen er slik: Nord plasserer spillet på meldebrettet. Skjermluken lukkes (og forblir slik gjennom hele meldeperioden) slik at meldebrettet akkurat kan passere under. Spillerne tar opp kortene fra mappen.</w:t>
      </w:r>
      <w:r>
        <w:br/>
      </w:r>
      <w:r>
        <w:br/>
        <w:t>Meldinger blir avgitt med meldekort fra meldeboksen. Spilleren plasserer den valgte melding på meldebrettet, som bare skal være synlig på spillerens side av skjermen. En spillers første melding skal tangere den ytterste venstre delen av spillerens eget segment på meldebrettet, med</w:t>
      </w:r>
      <w:r w:rsidR="002A2266">
        <w:t xml:space="preserve"> videre meldinger overlappende jevnt</w:t>
      </w:r>
      <w:r w:rsidR="00B206D3">
        <w:t xml:space="preserve"> og likt</w:t>
      </w:r>
      <w:r w:rsidR="002A2266">
        <w:t xml:space="preserve"> mot høyre. </w:t>
      </w:r>
      <w:r w:rsidR="00B206D3">
        <w:t>All meldinger skal være i kontakt med ytterste del av skjermbrettet mot spilleren og ligge delvis overlappende forrige melding.</w:t>
      </w:r>
      <w:r w:rsidR="00B206D3">
        <w:br/>
      </w:r>
      <w:r w:rsidR="00B206D3">
        <w:br/>
      </w:r>
      <w:r w:rsidR="002A2266">
        <w:t>Spillere skal gjøre alt de kan for at disse handlingene blir så lydløse som mulig. Med skjermer i bruk er en melding avgitt når den er plassert på meldebrettet og sluppet.</w:t>
      </w:r>
      <w:r w:rsidR="00B206D3">
        <w:t xml:space="preserve"> En spiller som fjerner ett eller flere av sine meldekort fra brettet i en bevegelse som antyder pass </w:t>
      </w:r>
      <w:r w:rsidR="00557FB4">
        <w:t xml:space="preserve">betraktes </w:t>
      </w:r>
      <w:r w:rsidR="00B206D3">
        <w:t>å ha avgitt en pass.</w:t>
      </w:r>
      <w:r w:rsidR="002A2266">
        <w:br/>
      </w:r>
      <w:r w:rsidR="002A2266">
        <w:br/>
        <w:t>Etter at to spillere på samme side av skjermen har avgitt deres meldinger, skal Nord eller Syd (spilleren på samme side av skjermen) skyve meldebrettet under skjermen slik at det bare blir synlig på andre side av skjermen.  De vil så avgi sine meldinger på samme måte og meldebrettet skyves tilbake igjen. Denne prosedyren gjentas inntil meldingsforløpet er avsluttet. Det er hensiktsmessig at spillerne varierer tempoet tilfeldig når de returnerer meldebrettet under skjermen.</w:t>
      </w:r>
      <w:r w:rsidR="002A2266">
        <w:br/>
      </w:r>
      <w:r w:rsidR="002A2266">
        <w:br/>
        <w:t>Etter at alle fire spillere har hatt muligheten til å studere meldingsforløpet (likestilt med muligheten ti</w:t>
      </w:r>
      <w:r w:rsidR="00431ACD">
        <w:t>l å få meldingsforløpet gjen</w:t>
      </w:r>
      <w:r w:rsidR="002A2266">
        <w:t xml:space="preserve">tatt) skal spillerne sette meldekortene tilbake i deres respektive meldebokser. </w:t>
      </w:r>
      <w:r w:rsidR="00B206D3">
        <w:br/>
      </w:r>
      <w:r w:rsidR="00B206D3">
        <w:br/>
      </w:r>
      <w:r w:rsidR="00B206D3">
        <w:lastRenderedPageBreak/>
        <w:t>Nå skal spillefører eller blindemann fje</w:t>
      </w:r>
      <w:r w:rsidR="00E85423">
        <w:t>rne meldebrettet fra bordet og legg</w:t>
      </w:r>
      <w:r w:rsidR="00557FB4">
        <w:t>e</w:t>
      </w:r>
      <w:r w:rsidR="00E85423">
        <w:t>r</w:t>
      </w:r>
      <w:r w:rsidR="00B206D3">
        <w:t xml:space="preserve"> mappen tilbake midt på bordet. Bare spillefører eller blindemann kan fjerne meldebrettet og bare spillefører eller blindemann kan </w:t>
      </w:r>
      <w:r w:rsidR="00E85423">
        <w:t>legge</w:t>
      </w:r>
      <w:r w:rsidR="00B206D3">
        <w:t xml:space="preserve"> mappen tilbake midt på bordet.</w:t>
      </w:r>
      <w:r w:rsidR="002A2266">
        <w:br/>
      </w:r>
      <w:r w:rsidR="002A2266">
        <w:br/>
      </w:r>
      <w:r w:rsidR="00B206D3">
        <w:t xml:space="preserve">Åpningsutspillet må </w:t>
      </w:r>
      <w:r w:rsidR="00B206D3" w:rsidRPr="00DD3D55">
        <w:t>gjøres</w:t>
      </w:r>
      <w:r w:rsidR="00DD3D55">
        <w:t xml:space="preserve"> med </w:t>
      </w:r>
      <w:r w:rsidR="00DD3D55" w:rsidRPr="009B6DB5">
        <w:t xml:space="preserve">fremsiden opp </w:t>
      </w:r>
      <w:r w:rsidR="00B206D3">
        <w:t>før skjermluken åpnes</w:t>
      </w:r>
      <w:r w:rsidR="00E85423">
        <w:t>,</w:t>
      </w:r>
      <w:r w:rsidR="00B206D3">
        <w:t xml:space="preserve"> og bare spillefører eller blindemann kan åpne skjermluken eller be om at denne åpnes.</w:t>
      </w:r>
      <w:r w:rsidR="00B206D3">
        <w:br/>
      </w:r>
      <w:r w:rsidR="00B206D3">
        <w:br/>
        <w:t xml:space="preserve">Når spillet er avsluttet </w:t>
      </w:r>
      <w:r w:rsidR="00E85423">
        <w:t>plasseres</w:t>
      </w:r>
      <w:r w:rsidR="00B206D3">
        <w:t xml:space="preserve"> meldebrettet tilbake på bordet.</w:t>
      </w:r>
      <w:r w:rsidR="00B206D3">
        <w:br/>
      </w:r>
      <w:r w:rsidR="00B206D3">
        <w:br/>
      </w:r>
      <w:r w:rsidR="002A2266">
        <w:t xml:space="preserve">Etter at et lovlig åpningsutspill er </w:t>
      </w:r>
      <w:r w:rsidR="00DD3D55" w:rsidRPr="009B6DB5">
        <w:t>gjort med fremsiden opp</w:t>
      </w:r>
      <w:r w:rsidR="002A2266">
        <w:t>, skal skjermluken åpnes slik at alle spillere kan se blindemanns kort og kortene spilt til hvert stikk. Om en</w:t>
      </w:r>
      <w:r w:rsidR="00DD3D55">
        <w:t xml:space="preserve"> </w:t>
      </w:r>
      <w:r w:rsidR="00DD3D55" w:rsidRPr="009B6DB5">
        <w:t>mot</w:t>
      </w:r>
      <w:r w:rsidR="002A2266" w:rsidRPr="009B6DB5">
        <w:t>spiller</w:t>
      </w:r>
      <w:r w:rsidR="00DD3D55">
        <w:t xml:space="preserve"> </w:t>
      </w:r>
      <w:r w:rsidR="002A2266">
        <w:t>viser et kort og spillefører, på grunn av skjermen, ikke ser det, kan blindemann gjøre bordet oppmerksom på uregelmessigheten.</w:t>
      </w:r>
    </w:p>
    <w:p w:rsidR="00431ACD" w:rsidRDefault="002D2312" w:rsidP="00641564">
      <w:pPr>
        <w:ind w:left="708"/>
      </w:pPr>
      <w:r>
        <w:t>Kortene må alltid bli lagt på bordet i samme retning, vertikalt eller horisontalt og i lik avstand fra forrige kort. Brudd på korrekt prosedyre vil kunne medføre prosedyrestraff.</w:t>
      </w:r>
    </w:p>
    <w:p w:rsidR="00641564" w:rsidRDefault="00641564" w:rsidP="00641564">
      <w:pPr>
        <w:pStyle w:val="Overskrift1"/>
        <w:numPr>
          <w:ilvl w:val="1"/>
          <w:numId w:val="1"/>
        </w:numPr>
      </w:pPr>
      <w:proofErr w:type="spellStart"/>
      <w:r>
        <w:t>Alertering</w:t>
      </w:r>
      <w:proofErr w:type="spellEnd"/>
      <w:r>
        <w:t xml:space="preserve"> og forklaring</w:t>
      </w:r>
    </w:p>
    <w:p w:rsidR="00165F76" w:rsidRDefault="00165F76" w:rsidP="00165F76">
      <w:pPr>
        <w:pStyle w:val="Listeavsnitt"/>
        <w:numPr>
          <w:ilvl w:val="0"/>
          <w:numId w:val="2"/>
        </w:numPr>
      </w:pPr>
      <w:r>
        <w:t xml:space="preserve">En spiller som avgir en melding som skal </w:t>
      </w:r>
      <w:proofErr w:type="spellStart"/>
      <w:r>
        <w:t>alerteres</w:t>
      </w:r>
      <w:proofErr w:type="spellEnd"/>
      <w:r>
        <w:t xml:space="preserve"> i henhold til Turneringsreglementet må gjøre sin skjermkamerat oppmerksom på alerten, og makker må avgi en alert på sin side av skjermen når meldebrettet skyves under. </w:t>
      </w:r>
      <w:r w:rsidR="00257E86">
        <w:t>Alerte</w:t>
      </w:r>
      <w:r w:rsidR="00DD3D55">
        <w:t>n må avgis ved å plassere alert-</w:t>
      </w:r>
      <w:r w:rsidR="00257E86">
        <w:t xml:space="preserve">lappen over den siste meldingen til skjermkameraten, i </w:t>
      </w:r>
      <w:r w:rsidR="00BE48C4">
        <w:t>sitt</w:t>
      </w:r>
      <w:r w:rsidR="00257E86">
        <w:t xml:space="preserve"> segment av meldebrettet; spilleren som blir </w:t>
      </w:r>
      <w:proofErr w:type="spellStart"/>
      <w:r w:rsidR="00257E86">
        <w:t>alertert</w:t>
      </w:r>
      <w:proofErr w:type="spellEnd"/>
      <w:r w:rsidR="00257E86">
        <w:t xml:space="preserve"> gir til kjenne at han er oppmerksom på alerten ved å gi alert-lappen </w:t>
      </w:r>
      <w:r w:rsidR="00257E86" w:rsidRPr="009B6DB5">
        <w:t>tilbake</w:t>
      </w:r>
      <w:r w:rsidR="00DD3D55" w:rsidRPr="009B6DB5">
        <w:t xml:space="preserve"> til sin motspiller</w:t>
      </w:r>
      <w:r w:rsidR="00257E86">
        <w:t xml:space="preserve">. En spiller kan, ved skriftlig spørsmål, spørre etter en forklaring på motstanderens melding; skjermkameraten </w:t>
      </w:r>
      <w:r w:rsidR="00DD3D55" w:rsidRPr="009B6DB5">
        <w:t>gir</w:t>
      </w:r>
      <w:r w:rsidR="00DD3D55" w:rsidRPr="00DD3D55">
        <w:rPr>
          <w:color w:val="FF0000"/>
        </w:rPr>
        <w:t xml:space="preserve"> </w:t>
      </w:r>
      <w:r w:rsidR="00257E86">
        <w:t>et skriftlig svar.</w:t>
      </w:r>
    </w:p>
    <w:p w:rsidR="00257E86" w:rsidRDefault="00257E86" w:rsidP="00165F76">
      <w:pPr>
        <w:pStyle w:val="Listeavsnitt"/>
        <w:numPr>
          <w:ilvl w:val="0"/>
          <w:numId w:val="2"/>
        </w:numPr>
      </w:pPr>
      <w:r>
        <w:t>På et hvilket som helst tidspunkt under meldingsforløpet kan en spiller skriftlig be om en fullstendig forklaring på en av motpartens meldinger. Svaret skal også være skriftlig.</w:t>
      </w:r>
    </w:p>
    <w:p w:rsidR="00257E86" w:rsidRPr="00165F76" w:rsidRDefault="002D2312" w:rsidP="00165F76">
      <w:pPr>
        <w:pStyle w:val="Listeavsnitt"/>
        <w:numPr>
          <w:ilvl w:val="0"/>
          <w:numId w:val="2"/>
        </w:numPr>
      </w:pPr>
      <w:r>
        <w:t xml:space="preserve">Helt fra meldeperioden starter til spillet er over skal </w:t>
      </w:r>
      <w:r w:rsidR="00BE48C4">
        <w:t>hver</w:t>
      </w:r>
      <w:r>
        <w:t xml:space="preserve"> spiller bare motta informasjon fra spilleren på </w:t>
      </w:r>
      <w:r w:rsidR="00BE48C4">
        <w:t>sin</w:t>
      </w:r>
      <w:r>
        <w:t xml:space="preserve"> side av skjermen om betydningen av meldinger og forklaringer. Spørsmål under spill av kortene bør gis skriftlig med skjermluken lukket. Skjermluken åpnes igjen etter at spilleren har fått svar. Turneringslederen kan derfor ikke gjøre undersøkelser på vegne av en spiller på den andre siden av skjermen under meldeperioden eller spillet.</w:t>
      </w:r>
    </w:p>
    <w:p w:rsidR="00641564" w:rsidRDefault="00641564" w:rsidP="00641564">
      <w:pPr>
        <w:pStyle w:val="Overskrift1"/>
        <w:numPr>
          <w:ilvl w:val="1"/>
          <w:numId w:val="1"/>
        </w:numPr>
      </w:pPr>
      <w:r>
        <w:t>Endring av korrigeringer når skjermer er i bruk</w:t>
      </w:r>
    </w:p>
    <w:p w:rsidR="006E2DC8" w:rsidRDefault="006E2DC8" w:rsidP="006E2DC8">
      <w:pPr>
        <w:pStyle w:val="Listeavsnitt"/>
        <w:numPr>
          <w:ilvl w:val="0"/>
          <w:numId w:val="3"/>
        </w:numPr>
      </w:pPr>
      <w:r>
        <w:t>En uregelmessighet som er sen</w:t>
      </w:r>
      <w:r w:rsidR="00E85423">
        <w:t>d</w:t>
      </w:r>
      <w:r>
        <w:t xml:space="preserve">t gjennom skjermen faller inn under de normale lovene, men </w:t>
      </w:r>
      <w:r w:rsidR="002D2312">
        <w:t xml:space="preserve">med </w:t>
      </w:r>
      <w:r>
        <w:t>følgende endringer:</w:t>
      </w:r>
      <w:r w:rsidR="00DC34D9">
        <w:br/>
      </w:r>
      <w:r>
        <w:t>i) en melding som ikke er tillatt – se § 35 – må korrigeres</w:t>
      </w:r>
      <w:r>
        <w:br/>
        <w:t xml:space="preserve">ii) om en spiller krenker lovene og, utilsiktet (ellers kan § </w:t>
      </w:r>
      <w:r w:rsidR="002D2312">
        <w:t>72C</w:t>
      </w:r>
      <w:r>
        <w:t xml:space="preserve"> komme til bruk), uregelmessigheten er sen</w:t>
      </w:r>
      <w:r w:rsidR="00E85423">
        <w:t>d</w:t>
      </w:r>
      <w:r>
        <w:t>t gjennom luken av skjermkameraten, har sistnevnte akseptert handlingen for sin side i situasjoner hvor lovene tillater den venstre motspilleren å akseptere uregelmessigheten.</w:t>
      </w:r>
    </w:p>
    <w:p w:rsidR="006E2DC8" w:rsidRDefault="006E2DC8" w:rsidP="006E2DC8">
      <w:pPr>
        <w:pStyle w:val="Listeavsnitt"/>
        <w:numPr>
          <w:ilvl w:val="0"/>
          <w:numId w:val="3"/>
        </w:numPr>
      </w:pPr>
      <w:r>
        <w:t xml:space="preserve">Før en uregelmessighet er sent gjennom luken skal spilleren som begikk uregelmessigheten eller hans skjermkamerat </w:t>
      </w:r>
      <w:r w:rsidR="00E51109" w:rsidRPr="009B6DB5">
        <w:t>tilkalle</w:t>
      </w:r>
      <w:r w:rsidRPr="00E51109">
        <w:rPr>
          <w:color w:val="FF0000"/>
        </w:rPr>
        <w:t xml:space="preserve"> </w:t>
      </w:r>
      <w:r>
        <w:t>TL. Meldinger som ikke</w:t>
      </w:r>
      <w:r w:rsidR="00E85423">
        <w:t xml:space="preserve"> er</w:t>
      </w:r>
      <w:r>
        <w:t xml:space="preserve"> tillatt skal ikke aksepteres</w:t>
      </w:r>
      <w:r w:rsidR="00E85423">
        <w:t>,</w:t>
      </w:r>
      <w:r>
        <w:t xml:space="preserve"> og skal rettes opp uten andre rettelser (men se (a)(ii) over); alle andre uregelmessigheter skal rettes opp og TL skal sørge for at bare den lovlige meldingen blir sen</w:t>
      </w:r>
      <w:r w:rsidR="00E85423">
        <w:t>d</w:t>
      </w:r>
      <w:r>
        <w:t xml:space="preserve">t gjennom luken. </w:t>
      </w:r>
      <w:r w:rsidR="007F34A3">
        <w:t>Ingen spiller på</w:t>
      </w:r>
      <w:r w:rsidR="00E85423">
        <w:t xml:space="preserve"> den</w:t>
      </w:r>
      <w:r w:rsidR="007F34A3">
        <w:t xml:space="preserve"> andre siden av skjermen skal bli gjort oppmerksom på hva som har skjedd om ikke fullbyrdelse av loven krever dette.</w:t>
      </w:r>
    </w:p>
    <w:p w:rsidR="007F34A3" w:rsidRDefault="007F34A3" w:rsidP="006E2DC8">
      <w:pPr>
        <w:pStyle w:val="Listeavsnitt"/>
        <w:numPr>
          <w:ilvl w:val="0"/>
          <w:numId w:val="3"/>
        </w:numPr>
      </w:pPr>
      <w:r>
        <w:lastRenderedPageBreak/>
        <w:t xml:space="preserve">Skjermkameraten </w:t>
      </w:r>
      <w:r w:rsidR="002D2312">
        <w:t>bør</w:t>
      </w:r>
      <w:r>
        <w:t xml:space="preserve"> prøve å hindre et åpningsutspill utenfor tur. Alle åpningsutspill utenfor tur skal trekkes tilbake uten andre korrigeringer så lenge luken ikke er åpnet. I andre tilfeller:</w:t>
      </w:r>
      <w:r>
        <w:br/>
        <w:t>i) når luken har blitt åpnet uten feil fra spilleføres side (og den andre motspilleren ikke har spilt ut med billedsiden opp) gjelder § 54.</w:t>
      </w:r>
      <w:r>
        <w:br/>
        <w:t xml:space="preserve">ii) når spilleføres side har åpnet luken er utspillet akseptert. Den antatte spilleføreren blir den aktuelle spilleføreren. § </w:t>
      </w:r>
      <w:r w:rsidR="002D2312">
        <w:t>72C</w:t>
      </w:r>
      <w:r>
        <w:t xml:space="preserve"> kan komme i betrak</w:t>
      </w:r>
      <w:r w:rsidR="00431ACD">
        <w:t>t</w:t>
      </w:r>
      <w:r>
        <w:t>ning.</w:t>
      </w:r>
      <w:r>
        <w:br/>
        <w:t>iii) når to åpningsutspill er spilt med billedsiden opp er det feilaktige utspillet et stort straffekort.</w:t>
      </w:r>
      <w:r>
        <w:br/>
        <w:t>iv) et kort vist med billedsiden opp fra spilleføres side faller under § 48.</w:t>
      </w:r>
    </w:p>
    <w:p w:rsidR="007F34A3" w:rsidRDefault="002D2312" w:rsidP="006E2DC8">
      <w:pPr>
        <w:pStyle w:val="Listeavsnitt"/>
        <w:numPr>
          <w:ilvl w:val="0"/>
          <w:numId w:val="3"/>
        </w:numPr>
      </w:pPr>
      <w:r>
        <w:t xml:space="preserve">Når en </w:t>
      </w:r>
      <w:r w:rsidR="007F34A3">
        <w:t>melding</w:t>
      </w:r>
      <w:r w:rsidR="0087607C">
        <w:t xml:space="preserve"> som skal </w:t>
      </w:r>
      <w:proofErr w:type="spellStart"/>
      <w:r w:rsidR="0087607C">
        <w:t>alerteres</w:t>
      </w:r>
      <w:proofErr w:type="spellEnd"/>
      <w:r w:rsidR="007F34A3">
        <w:t xml:space="preserve"> er avgitt, se </w:t>
      </w:r>
      <w:r w:rsidR="0087607C">
        <w:t>punkt 1.2</w:t>
      </w:r>
      <w:r w:rsidR="007F34A3">
        <w:t xml:space="preserve"> over.</w:t>
      </w:r>
    </w:p>
    <w:p w:rsidR="007F34A3" w:rsidRDefault="007F34A3" w:rsidP="006E2DC8">
      <w:pPr>
        <w:pStyle w:val="Listeavsnitt"/>
        <w:numPr>
          <w:ilvl w:val="0"/>
          <w:numId w:val="3"/>
        </w:numPr>
      </w:pPr>
      <w:r>
        <w:t xml:space="preserve">Når en spiller bruker </w:t>
      </w:r>
      <w:r w:rsidR="00E85423">
        <w:t>mer</w:t>
      </w:r>
      <w:r>
        <w:t xml:space="preserve"> enn normal tid til å avgi sin melding, er det ikke et brudd på lovene om spilleren selv påpeker bruddet i tempo. Skjermkameraten, derimot, skal ikke gjøre det. </w:t>
      </w:r>
    </w:p>
    <w:p w:rsidR="007F34A3" w:rsidRDefault="007F34A3" w:rsidP="006E2DC8">
      <w:pPr>
        <w:pStyle w:val="Listeavsnitt"/>
        <w:numPr>
          <w:ilvl w:val="0"/>
          <w:numId w:val="3"/>
        </w:numPr>
      </w:pPr>
      <w:r>
        <w:t>Om en spiller på siden av skjermen som mottar meldebrettet anslår at det har vært et brudd i tempo og det der</w:t>
      </w:r>
      <w:r w:rsidR="00E85423">
        <w:t>ved</w:t>
      </w:r>
      <w:r>
        <w:t xml:space="preserve"> kan ha vært </w:t>
      </w:r>
      <w:r w:rsidR="0087607C">
        <w:t xml:space="preserve">formidlet </w:t>
      </w:r>
      <w:r>
        <w:t>uautorisert informasjon, bør han, under § 16B2, tilkalle TL. Han kan gjøre dette på et hvilket som helst tidspunkt før åpningsutspillet er gjort og skjermen åpnet.</w:t>
      </w:r>
    </w:p>
    <w:p w:rsidR="007F34A3" w:rsidRDefault="00E91067" w:rsidP="006E2DC8">
      <w:pPr>
        <w:pStyle w:val="Listeavsnitt"/>
        <w:numPr>
          <w:ilvl w:val="0"/>
          <w:numId w:val="3"/>
        </w:numPr>
      </w:pPr>
      <w:r>
        <w:t>Ved å ikke gjøre som i (f) kan TL bli overbevist om at det er makker som påpekte bruddet i tempoet. Om det skjer kan TL dømme at det ikke var noe</w:t>
      </w:r>
      <w:r w:rsidR="00E85423">
        <w:t>n</w:t>
      </w:r>
      <w:r>
        <w:t xml:space="preserve"> forsinkelse og med det ikke noen ure</w:t>
      </w:r>
      <w:r w:rsidR="00E85423">
        <w:t>tt</w:t>
      </w:r>
      <w:r>
        <w:t xml:space="preserve">messig informasjon. En forsinkelse i sending av meldebrettet på opptil 20 sekunder er </w:t>
      </w:r>
      <w:r w:rsidR="0087607C">
        <w:t xml:space="preserve">normalt </w:t>
      </w:r>
      <w:r>
        <w:t>ikke ansett som signifikant.</w:t>
      </w:r>
    </w:p>
    <w:p w:rsidR="0087607C" w:rsidRPr="006E2DC8" w:rsidRDefault="009B6DB5" w:rsidP="006E2DC8">
      <w:pPr>
        <w:pStyle w:val="Listeavsnitt"/>
        <w:numPr>
          <w:ilvl w:val="0"/>
          <w:numId w:val="3"/>
        </w:numPr>
      </w:pPr>
      <w:r>
        <w:t>Hvis derimot</w:t>
      </w:r>
      <w:r w:rsidR="00E51109" w:rsidRPr="009B6DB5">
        <w:t xml:space="preserve"> </w:t>
      </w:r>
      <w:r w:rsidR="0087607C">
        <w:t xml:space="preserve">spillerne ikke har variert tempoet i sending av meldebrettet som beskrevet i punkt 1.1, fjerde avsnitt, så kan en forsinkelse på mindre enn 20 sekunder anses som signifikant. </w:t>
      </w:r>
    </w:p>
    <w:p w:rsidR="00641564" w:rsidRPr="00641564" w:rsidRDefault="00641564" w:rsidP="00641564">
      <w:pPr>
        <w:pStyle w:val="Overskrift1"/>
        <w:ind w:left="720"/>
      </w:pPr>
    </w:p>
    <w:sectPr w:rsidR="00641564" w:rsidRPr="00641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4A9"/>
    <w:multiLevelType w:val="hybridMultilevel"/>
    <w:tmpl w:val="CD8ACE2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BC876CF"/>
    <w:multiLevelType w:val="hybridMultilevel"/>
    <w:tmpl w:val="D604DF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64DB67E2"/>
    <w:multiLevelType w:val="multilevel"/>
    <w:tmpl w:val="64C40E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64"/>
    <w:rsid w:val="00035978"/>
    <w:rsid w:val="000520F9"/>
    <w:rsid w:val="00056FEE"/>
    <w:rsid w:val="0012153A"/>
    <w:rsid w:val="00165F76"/>
    <w:rsid w:val="001F1F16"/>
    <w:rsid w:val="00214A83"/>
    <w:rsid w:val="00257E86"/>
    <w:rsid w:val="0026137F"/>
    <w:rsid w:val="00285852"/>
    <w:rsid w:val="002A2266"/>
    <w:rsid w:val="002D2312"/>
    <w:rsid w:val="002D7B2C"/>
    <w:rsid w:val="00354BDB"/>
    <w:rsid w:val="00386D6C"/>
    <w:rsid w:val="00411F81"/>
    <w:rsid w:val="00422479"/>
    <w:rsid w:val="00431ACD"/>
    <w:rsid w:val="004E7E95"/>
    <w:rsid w:val="00557FB4"/>
    <w:rsid w:val="005815EA"/>
    <w:rsid w:val="00641564"/>
    <w:rsid w:val="00644598"/>
    <w:rsid w:val="006E2DC8"/>
    <w:rsid w:val="006F075F"/>
    <w:rsid w:val="00725A56"/>
    <w:rsid w:val="00746B5D"/>
    <w:rsid w:val="00751E86"/>
    <w:rsid w:val="00796C01"/>
    <w:rsid w:val="007D70B2"/>
    <w:rsid w:val="007F34A3"/>
    <w:rsid w:val="008207AB"/>
    <w:rsid w:val="00830E58"/>
    <w:rsid w:val="0087607C"/>
    <w:rsid w:val="00977171"/>
    <w:rsid w:val="009A267D"/>
    <w:rsid w:val="009B6DB5"/>
    <w:rsid w:val="009D7DA0"/>
    <w:rsid w:val="00A811C7"/>
    <w:rsid w:val="00B206D3"/>
    <w:rsid w:val="00B400B0"/>
    <w:rsid w:val="00B87E70"/>
    <w:rsid w:val="00BB0DE6"/>
    <w:rsid w:val="00BE48C4"/>
    <w:rsid w:val="00C201D0"/>
    <w:rsid w:val="00C9503C"/>
    <w:rsid w:val="00D85493"/>
    <w:rsid w:val="00DC34D9"/>
    <w:rsid w:val="00DD3D55"/>
    <w:rsid w:val="00DE3DC2"/>
    <w:rsid w:val="00DE420C"/>
    <w:rsid w:val="00E4128A"/>
    <w:rsid w:val="00E51109"/>
    <w:rsid w:val="00E85423"/>
    <w:rsid w:val="00E91067"/>
    <w:rsid w:val="00EC189E"/>
    <w:rsid w:val="00FE71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415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1564"/>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165F76"/>
    <w:pPr>
      <w:ind w:left="720"/>
      <w:contextualSpacing/>
    </w:pPr>
  </w:style>
  <w:style w:type="character" w:styleId="Hyperkobling">
    <w:name w:val="Hyperlink"/>
    <w:basedOn w:val="Standardskriftforavsnitt"/>
    <w:uiPriority w:val="99"/>
    <w:unhideWhenUsed/>
    <w:rsid w:val="008760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415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1564"/>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165F76"/>
    <w:pPr>
      <w:ind w:left="720"/>
      <w:contextualSpacing/>
    </w:pPr>
  </w:style>
  <w:style w:type="character" w:styleId="Hyperkobling">
    <w:name w:val="Hyperlink"/>
    <w:basedOn w:val="Standardskriftforavsnitt"/>
    <w:uiPriority w:val="99"/>
    <w:unhideWhenUsed/>
    <w:rsid w:val="00876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ridge.org/wp-content/uploads/2016/11/generalconditionsofcontes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6193</Characters>
  <Application>Microsoft Office Word</Application>
  <DocSecurity>0</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Livgård</dc:creator>
  <cp:lastModifiedBy>Harald Berre Skjæran</cp:lastModifiedBy>
  <cp:revision>3</cp:revision>
  <cp:lastPrinted>2017-10-06T10:42:00Z</cp:lastPrinted>
  <dcterms:created xsi:type="dcterms:W3CDTF">2017-10-06T10:42:00Z</dcterms:created>
  <dcterms:modified xsi:type="dcterms:W3CDTF">2017-10-06T10:42:00Z</dcterms:modified>
</cp:coreProperties>
</file>